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bookmarkStart w:id="0" w:name="_Hlt450051172"/>
      <w:bookmarkEnd w:id="0"/>
      <w:bookmarkStart w:id="1" w:name="_Hlt449016246"/>
      <w:bookmarkEnd w:id="1"/>
      <w:bookmarkStart w:id="2" w:name="_Hlt450066085"/>
      <w:bookmarkEnd w:id="2"/>
      <w:bookmarkStart w:id="3" w:name="_Hlt450066087"/>
      <w:bookmarkEnd w:id="3"/>
      <w:bookmarkStart w:id="4" w:name="_Hlt448930105"/>
      <w:bookmarkEnd w:id="4"/>
      <w:bookmarkStart w:id="5" w:name="_Hlt450039480"/>
      <w:bookmarkEnd w:id="5"/>
      <w:bookmarkStart w:id="6" w:name="_Ref465244136"/>
      <w:r>
        <w:rPr>
          <w:rFonts w:ascii="Arial" w:hAnsi="Arial" w:cs="Arial"/>
          <w:b/>
          <w:sz w:val="24"/>
          <w:szCs w:val="24"/>
        </w:rPr>
        <w:t>3GPP TSG-RAN WG4 Meeting #</w:t>
      </w:r>
      <w:r>
        <w:rPr>
          <w:rFonts w:hint="eastAsia" w:ascii="Arial" w:hAnsi="Arial" w:eastAsia="宋体" w:cs="Arial"/>
          <w:b/>
          <w:sz w:val="24"/>
          <w:szCs w:val="24"/>
          <w:lang w:eastAsia="zh-CN"/>
        </w:rPr>
        <w:t>8</w:t>
      </w:r>
      <w:r>
        <w:rPr>
          <w:rFonts w:ascii="Arial" w:hAnsi="Arial" w:eastAsia="宋体" w:cs="Arial"/>
          <w:b/>
          <w:sz w:val="24"/>
          <w:szCs w:val="24"/>
          <w:lang w:eastAsia="zh-CN"/>
        </w:rPr>
        <w:t>9</w:t>
      </w:r>
      <w:r>
        <w:rPr>
          <w:rFonts w:hint="eastAsia" w:ascii="Arial" w:hAnsi="Arial" w:cs="Arial"/>
          <w:b/>
          <w:sz w:val="24"/>
          <w:szCs w:val="24"/>
          <w:lang w:val="en-US" w:eastAsia="zh-CN"/>
        </w:rPr>
        <w:t xml:space="preserve"> </w:t>
      </w:r>
      <w:r>
        <w:rPr>
          <w:rFonts w:ascii="Arial" w:hAnsi="Arial" w:eastAsia="MS Mincho" w:cs="Arial"/>
          <w:b/>
          <w:sz w:val="24"/>
          <w:szCs w:val="24"/>
          <w:lang w:val="en-US"/>
        </w:rPr>
        <w:tab/>
      </w:r>
      <w:r>
        <w:rPr>
          <w:rFonts w:hint="eastAsia" w:ascii="Arial" w:hAnsi="Arial" w:eastAsia="MS Mincho" w:cs="Arial"/>
          <w:b/>
          <w:sz w:val="24"/>
          <w:szCs w:val="24"/>
          <w:lang w:val="en-US"/>
        </w:rPr>
        <w:t>R4-18</w:t>
      </w:r>
      <w:r>
        <w:rPr>
          <w:rFonts w:hint="eastAsia" w:ascii="Arial" w:hAnsi="Arial" w:cs="Arial"/>
          <w:b/>
          <w:sz w:val="24"/>
          <w:szCs w:val="24"/>
          <w:lang w:val="en-US" w:eastAsia="zh-CN"/>
        </w:rPr>
        <w:t>14761</w:t>
      </w:r>
      <w:bookmarkStart w:id="7" w:name="_GoBack"/>
      <w:bookmarkEnd w:id="7"/>
    </w:p>
    <w:p>
      <w:pPr>
        <w:pStyle w:val="37"/>
        <w:tabs>
          <w:tab w:val="right" w:pos="9781"/>
          <w:tab w:val="right" w:pos="13323"/>
        </w:tabs>
        <w:outlineLvl w:val="0"/>
        <w:rPr>
          <w:rFonts w:hint="eastAsia" w:ascii="Arial" w:hAnsi="Arial" w:eastAsia="宋体"/>
          <w:b/>
          <w:sz w:val="24"/>
          <w:szCs w:val="24"/>
          <w:lang w:eastAsia="zh-CN"/>
        </w:rPr>
      </w:pPr>
      <w:r>
        <w:rPr>
          <w:rFonts w:ascii="Arial" w:hAnsi="Arial" w:eastAsia="宋体"/>
          <w:b/>
          <w:sz w:val="24"/>
          <w:szCs w:val="24"/>
          <w:lang w:eastAsia="zh-CN"/>
        </w:rPr>
        <w:t>Spokane</w:t>
      </w:r>
      <w:r>
        <w:rPr>
          <w:rFonts w:hint="eastAsia" w:ascii="Arial" w:hAnsi="Arial" w:eastAsia="宋体"/>
          <w:b/>
          <w:sz w:val="24"/>
          <w:szCs w:val="24"/>
          <w:lang w:eastAsia="zh-CN"/>
        </w:rPr>
        <w:t xml:space="preserve">, </w:t>
      </w:r>
      <w:r>
        <w:rPr>
          <w:rFonts w:ascii="Arial" w:hAnsi="Arial" w:eastAsia="宋体"/>
          <w:b/>
          <w:sz w:val="24"/>
          <w:szCs w:val="24"/>
          <w:lang w:eastAsia="zh-CN"/>
        </w:rPr>
        <w:t>US, 12</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ascii="Arial" w:hAnsi="Arial" w:eastAsia="宋体"/>
          <w:b/>
          <w:sz w:val="24"/>
          <w:szCs w:val="24"/>
          <w:lang w:eastAsia="zh-CN"/>
        </w:rPr>
        <w:t xml:space="preserve"> </w:t>
      </w:r>
      <w:r>
        <w:rPr>
          <w:rFonts w:ascii="Arial" w:hAnsi="Arial" w:eastAsia="宋体"/>
          <w:b/>
          <w:sz w:val="24"/>
          <w:szCs w:val="24"/>
          <w:lang w:eastAsia="zh-CN"/>
        </w:rPr>
        <w:t>16</w:t>
      </w:r>
      <w:r>
        <w:rPr>
          <w:rFonts w:ascii="Arial" w:hAnsi="Arial" w:eastAsia="宋体"/>
          <w:b/>
          <w:sz w:val="24"/>
          <w:szCs w:val="24"/>
          <w:vertAlign w:val="superscript"/>
          <w:lang w:eastAsia="zh-CN"/>
        </w:rPr>
        <w:t>th</w:t>
      </w:r>
      <w:r>
        <w:rPr>
          <w:rFonts w:ascii="Arial" w:hAnsi="Arial" w:eastAsia="宋体"/>
          <w:b/>
          <w:sz w:val="24"/>
          <w:szCs w:val="24"/>
          <w:lang w:eastAsia="zh-CN"/>
        </w:rPr>
        <w:t xml:space="preserve"> Nov, 2018</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Conducted emission test methods at AC mains power input port</w:t>
      </w:r>
    </w:p>
    <w:p>
      <w:pPr>
        <w:tabs>
          <w:tab w:val="left" w:pos="1985"/>
        </w:tabs>
        <w:jc w:val="both"/>
        <w:rPr>
          <w:rFonts w:ascii="Arial" w:hAnsi="Arial"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7.10.3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 xml:space="preserve">The conducted emission test methods at AC mains power input port  for BS are stated in subclause 8.4.2 in  BS EMC standards [1] , [2] and [3]. Those statements are not coincident with [4]. </w:t>
      </w:r>
    </w:p>
    <w:p>
      <w:pPr>
        <w:pStyle w:val="2"/>
        <w:rPr>
          <w:lang w:eastAsia="zh-CN"/>
        </w:rPr>
      </w:pPr>
      <w:r>
        <w:rPr>
          <w:lang w:eastAsia="zh-CN"/>
        </w:rPr>
        <w:t>Discussion</w:t>
      </w:r>
    </w:p>
    <w:p>
      <w:pPr>
        <w:jc w:val="both"/>
        <w:rPr>
          <w:rFonts w:hint="eastAsia"/>
          <w:color w:val="000000" w:themeColor="text1"/>
          <w:sz w:val="20"/>
          <w:lang w:val="en-US" w:eastAsia="zh-CN"/>
          <w14:textFill>
            <w14:solidFill>
              <w14:schemeClr w14:val="tx1"/>
            </w14:solidFill>
          </w14:textFill>
        </w:rPr>
      </w:pPr>
      <w:r>
        <w:rPr>
          <w:rFonts w:hint="eastAsia"/>
          <w:vertAlign w:val="baseline"/>
          <w:lang w:val="en-US" w:eastAsia="zh-CN"/>
        </w:rPr>
        <w:t xml:space="preserve">Subclause 8.4.2 in </w:t>
      </w:r>
      <w:r>
        <w:rPr>
          <w:rFonts w:hint="eastAsia"/>
          <w:color w:val="000000" w:themeColor="text1"/>
          <w:sz w:val="20"/>
          <w:lang w:val="en-US" w:eastAsia="zh-CN"/>
          <w14:textFill>
            <w14:solidFill>
              <w14:schemeClr w14:val="tx1"/>
            </w14:solidFill>
          </w14:textFill>
        </w:rPr>
        <w:t xml:space="preserve"> [1] , [2] and [3] described the connection of AMN, which were shown as the following:</w:t>
      </w:r>
    </w:p>
    <w:p>
      <w:pPr>
        <w:ind w:left="400" w:leftChars="200" w:firstLine="0" w:firstLineChars="0"/>
        <w:rPr>
          <w:rFonts w:cs="v4.2.0"/>
          <w:i/>
          <w:iCs/>
          <w:lang w:eastAsia="en-GB"/>
        </w:rPr>
      </w:pPr>
      <w:r>
        <w:rPr>
          <w:rFonts w:cs="v4.2.0"/>
          <w:i/>
          <w:iCs/>
          <w:lang w:eastAsia="en-GB"/>
        </w:rPr>
        <w:t>Mains connected ancillary equipment which is not part of the EUT shall be connected to the mains via a separate AMN. According to CISPR 16</w:t>
      </w:r>
      <w:r>
        <w:rPr>
          <w:rFonts w:cs="v4.2.0"/>
          <w:i/>
          <w:iCs/>
          <w:lang w:eastAsia="en-GB"/>
        </w:rPr>
        <w:noBreakHyphen/>
      </w:r>
      <w:r>
        <w:rPr>
          <w:rFonts w:cs="v4.2.0"/>
          <w:i/>
          <w:iCs/>
          <w:lang w:eastAsia="en-GB"/>
        </w:rPr>
        <w:t>1-1, the Protective Earth (PE) conductor shall also be terminated by a 50 Ω/50 μH common mode RF impedance.</w:t>
      </w:r>
    </w:p>
    <w:p>
      <w:pPr>
        <w:rPr>
          <w:b/>
          <w:bCs/>
          <w:lang w:val="en-US" w:eastAsia="zh-CN"/>
        </w:rPr>
      </w:pPr>
      <w:r>
        <w:rPr>
          <w:rFonts w:hint="eastAsia"/>
          <w:b/>
          <w:bCs/>
          <w:lang w:val="en-US" w:eastAsia="zh-CN"/>
        </w:rPr>
        <w:t>Observation: The AMN wouldn</w:t>
      </w:r>
      <w:r>
        <w:rPr>
          <w:rFonts w:hint="default"/>
          <w:b/>
          <w:bCs/>
          <w:lang w:val="en-US" w:eastAsia="zh-CN"/>
        </w:rPr>
        <w:t>’</w:t>
      </w:r>
      <w:r>
        <w:rPr>
          <w:rFonts w:hint="eastAsia"/>
          <w:b/>
          <w:bCs/>
          <w:lang w:val="en-US" w:eastAsia="zh-CN"/>
        </w:rPr>
        <w:t>t be grounded well while the PE conductor is terminated by a common mode RF impedance without connecting to ground plane.</w:t>
      </w:r>
    </w:p>
    <w:p>
      <w:pPr>
        <w:jc w:val="both"/>
        <w:rPr>
          <w:rFonts w:hint="eastAsia"/>
          <w:color w:val="000000" w:themeColor="text1"/>
          <w:sz w:val="20"/>
          <w:lang w:val="en-US" w:eastAsia="zh-CN"/>
          <w14:textFill>
            <w14:solidFill>
              <w14:schemeClr w14:val="tx1"/>
            </w14:solidFill>
          </w14:textFill>
        </w:rPr>
      </w:pPr>
      <w:r>
        <w:rPr>
          <w:rFonts w:hint="eastAsia"/>
          <w:color w:val="000000" w:themeColor="text1"/>
          <w:sz w:val="20"/>
          <w:lang w:val="en-US" w:eastAsia="zh-CN"/>
          <w14:textFill>
            <w14:solidFill>
              <w14:schemeClr w14:val="tx1"/>
            </w14:solidFill>
          </w14:textFill>
        </w:rPr>
        <w:t>Subclause 5.3 in [4] described how to connect the AN to the reference ground, which were shown as the following:</w:t>
      </w:r>
    </w:p>
    <w:p>
      <w:pPr>
        <w:ind w:left="400" w:leftChars="200" w:firstLine="0" w:firstLineChars="0"/>
        <w:rPr>
          <w:rFonts w:hint="eastAsia" w:cs="v4.2.0"/>
          <w:i/>
          <w:iCs/>
          <w:sz w:val="20"/>
          <w:szCs w:val="20"/>
          <w:lang w:val="en-US" w:eastAsia="zh-CN"/>
        </w:rPr>
      </w:pPr>
      <w:r>
        <w:rPr>
          <w:rFonts w:hint="default" w:cs="v4.2.0"/>
          <w:i/>
          <w:iCs/>
          <w:sz w:val="20"/>
          <w:szCs w:val="20"/>
          <w:lang w:eastAsia="en-GB"/>
        </w:rPr>
        <w:t>The artificial network (AN) shall be connected to the reference ground by a low RF</w:t>
      </w:r>
      <w:r>
        <w:rPr>
          <w:rFonts w:hint="eastAsia" w:cs="v4.2.0"/>
          <w:i/>
          <w:iCs/>
          <w:sz w:val="20"/>
          <w:szCs w:val="20"/>
          <w:lang w:val="en-US" w:eastAsia="zh-CN"/>
        </w:rPr>
        <w:t xml:space="preserve"> </w:t>
      </w:r>
      <w:r>
        <w:rPr>
          <w:rFonts w:hint="default" w:cs="v4.2.0"/>
          <w:i/>
          <w:iCs/>
          <w:sz w:val="20"/>
          <w:szCs w:val="20"/>
          <w:lang w:eastAsia="en-GB"/>
        </w:rPr>
        <w:t>impedance, e.g. by direct bonding of the case of the AN to the reference ground of a shielded</w:t>
      </w:r>
      <w:r>
        <w:rPr>
          <w:rFonts w:hint="eastAsia" w:cs="v4.2.0"/>
          <w:i/>
          <w:iCs/>
          <w:sz w:val="20"/>
          <w:szCs w:val="20"/>
          <w:lang w:val="en-US" w:eastAsia="zh-CN"/>
        </w:rPr>
        <w:t xml:space="preserve"> </w:t>
      </w:r>
      <w:r>
        <w:rPr>
          <w:rFonts w:hint="default" w:cs="v4.2.0"/>
          <w:i/>
          <w:iCs/>
          <w:sz w:val="20"/>
          <w:szCs w:val="20"/>
          <w:lang w:eastAsia="en-GB"/>
        </w:rPr>
        <w:t>room, or with a low impedance conductor as short and as wide as practical (the maximum</w:t>
      </w:r>
      <w:r>
        <w:rPr>
          <w:rFonts w:hint="eastAsia" w:cs="v4.2.0"/>
          <w:i/>
          <w:iCs/>
          <w:sz w:val="20"/>
          <w:szCs w:val="20"/>
          <w:lang w:val="en-US" w:eastAsia="zh-CN"/>
        </w:rPr>
        <w:t xml:space="preserve"> </w:t>
      </w:r>
      <w:r>
        <w:rPr>
          <w:rFonts w:hint="default" w:cs="v4.2.0"/>
          <w:i/>
          <w:iCs/>
          <w:sz w:val="20"/>
          <w:szCs w:val="20"/>
          <w:lang w:eastAsia="en-GB"/>
        </w:rPr>
        <w:t>length to width ratio of which is 3:1, and the inductance of which is less than approximately</w:t>
      </w:r>
      <w:r>
        <w:rPr>
          <w:rFonts w:hint="eastAsia" w:cs="v4.2.0"/>
          <w:i/>
          <w:iCs/>
          <w:sz w:val="20"/>
          <w:szCs w:val="20"/>
          <w:lang w:val="en-US" w:eastAsia="zh-CN"/>
        </w:rPr>
        <w:t xml:space="preserve"> </w:t>
      </w:r>
      <w:r>
        <w:rPr>
          <w:rFonts w:hint="default" w:cs="v4.2.0"/>
          <w:i/>
          <w:iCs/>
          <w:sz w:val="20"/>
          <w:szCs w:val="20"/>
          <w:lang w:eastAsia="en-GB"/>
        </w:rPr>
        <w:t>50 nH corresponding to an impedance of less than approximately 10 Ω at 30 MHz). An in situ</w:t>
      </w:r>
      <w:r>
        <w:rPr>
          <w:rFonts w:hint="eastAsia" w:cs="v4.2.0"/>
          <w:i/>
          <w:iCs/>
          <w:sz w:val="20"/>
          <w:szCs w:val="20"/>
          <w:lang w:val="en-US" w:eastAsia="zh-CN"/>
        </w:rPr>
        <w:t xml:space="preserve"> </w:t>
      </w:r>
      <w:r>
        <w:rPr>
          <w:rFonts w:hint="default" w:cs="v4.2.0"/>
          <w:i/>
          <w:iCs/>
          <w:sz w:val="20"/>
          <w:szCs w:val="20"/>
          <w:lang w:eastAsia="en-GB"/>
        </w:rPr>
        <w:t>test of the voltage division factor as explained in Annex E is recommended. This will help to</w:t>
      </w:r>
      <w:r>
        <w:rPr>
          <w:rFonts w:hint="eastAsia" w:cs="v4.2.0"/>
          <w:i/>
          <w:iCs/>
          <w:sz w:val="20"/>
          <w:szCs w:val="20"/>
          <w:lang w:val="en-US" w:eastAsia="zh-CN"/>
        </w:rPr>
        <w:t xml:space="preserve"> </w:t>
      </w:r>
      <w:r>
        <w:rPr>
          <w:rFonts w:hint="default" w:cs="v4.2.0"/>
          <w:i/>
          <w:iCs/>
          <w:sz w:val="20"/>
          <w:szCs w:val="20"/>
          <w:lang w:eastAsia="en-GB"/>
        </w:rPr>
        <w:t>find, e.g. a ground strap resonance in the AN grounding.</w:t>
      </w:r>
    </w:p>
    <w:p>
      <w:pPr>
        <w:jc w:val="both"/>
        <w:rPr>
          <w:rFonts w:hint="eastAsia"/>
          <w:vertAlign w:val="baseline"/>
          <w:lang w:val="en-US" w:eastAsia="zh-CN"/>
        </w:rPr>
      </w:pPr>
      <w:r>
        <w:rPr>
          <w:rFonts w:hint="eastAsia"/>
          <w:vertAlign w:val="baseline"/>
          <w:lang w:val="en-US" w:eastAsia="zh-CN"/>
        </w:rPr>
        <w:t>The artificial mains network (AMN) is one kind of the artificial network (AN) which is used for AC mains in conduction emission test.</w:t>
      </w:r>
    </w:p>
    <w:p>
      <w:pPr>
        <w:jc w:val="both"/>
        <w:rPr>
          <w:rFonts w:hint="eastAsia"/>
          <w:vertAlign w:val="baseline"/>
          <w:lang w:val="en-US" w:eastAsia="zh-CN"/>
        </w:rPr>
      </w:pPr>
      <w:r>
        <w:rPr>
          <w:rFonts w:hint="eastAsia"/>
          <w:vertAlign w:val="baseline"/>
          <w:lang w:val="en-US" w:eastAsia="zh-CN"/>
        </w:rPr>
        <w:t>Figure 1 in [4] described how to ground the AMNs to the reference ground and how to terminate the AMNs not connected to the test receiver while there are more than one AMN used for the conduction emission measurement.</w:t>
      </w:r>
    </w:p>
    <w:p>
      <w:pPr>
        <w:jc w:val="both"/>
      </w:pPr>
      <w:r>
        <w:drawing>
          <wp:inline distT="0" distB="0" distL="114300" distR="114300">
            <wp:extent cx="6551295" cy="5085715"/>
            <wp:effectExtent l="0" t="0" r="190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551295" cy="5085715"/>
                    </a:xfrm>
                    <a:prstGeom prst="rect">
                      <a:avLst/>
                    </a:prstGeom>
                    <a:noFill/>
                    <a:ln w="9525">
                      <a:noFill/>
                    </a:ln>
                  </pic:spPr>
                </pic:pic>
              </a:graphicData>
            </a:graphic>
          </wp:inline>
        </w:drawing>
      </w:r>
    </w:p>
    <w:p>
      <w:pPr>
        <w:jc w:val="both"/>
        <w:rPr>
          <w:rFonts w:hint="eastAsia" w:eastAsia="宋体"/>
          <w:lang w:val="en-US" w:eastAsia="zh-CN"/>
        </w:rPr>
      </w:pPr>
      <w:r>
        <w:rPr>
          <w:rFonts w:hint="eastAsia"/>
          <w:lang w:val="en-US" w:eastAsia="zh-CN"/>
        </w:rPr>
        <w:t>All AMNs should be grounded to the reference ground plane (RGP) well. Each AMN not connected to receiver should be terminated with 50</w:t>
      </w:r>
      <w:r>
        <w:rPr>
          <w:lang w:eastAsia="en-GB"/>
        </w:rPr>
        <w:t>Ω</w:t>
      </w:r>
      <w:r>
        <w:rPr>
          <w:rFonts w:hint="eastAsia"/>
          <w:lang w:val="en-US" w:eastAsia="zh-CN"/>
        </w:rPr>
        <w:t>.</w:t>
      </w:r>
    </w:p>
    <w:p>
      <w:pPr>
        <w:jc w:val="both"/>
        <w:rPr>
          <w:rFonts w:hint="eastAsia"/>
          <w:b/>
          <w:bCs/>
          <w:vertAlign w:val="baseline"/>
          <w:lang w:val="en-US" w:eastAsia="zh-CN"/>
        </w:rPr>
      </w:pPr>
      <w:r>
        <w:rPr>
          <w:rFonts w:hint="eastAsia"/>
          <w:b/>
          <w:bCs/>
          <w:vertAlign w:val="baseline"/>
          <w:lang w:val="en-US" w:eastAsia="zh-CN"/>
        </w:rPr>
        <w:t>Proposal: Correct the description for conducted emission test method at AC mains power input port in [1], [2] and [3] according to [4] as the following:</w:t>
      </w:r>
    </w:p>
    <w:p>
      <w:pPr>
        <w:rPr>
          <w:rFonts w:hint="eastAsia"/>
          <w:b/>
          <w:bCs/>
          <w:i/>
          <w:iCs/>
          <w:vertAlign w:val="baseline"/>
          <w:lang w:val="en-US" w:eastAsia="zh-CN"/>
        </w:rPr>
      </w:pPr>
      <w:r>
        <w:rPr>
          <w:rFonts w:cs="v4.2.0"/>
          <w:i/>
          <w:iCs/>
          <w:lang w:eastAsia="en-GB"/>
        </w:rPr>
        <w:t>Mains connected ancillary equipment which is not part of the EUT shall be connected to the mains via a separate AMN</w:t>
      </w:r>
      <w:r>
        <w:rPr>
          <w:rFonts w:hint="eastAsia" w:cs="v4.2.0"/>
          <w:i/>
          <w:iCs/>
          <w:lang w:val="en-US" w:eastAsia="zh-CN"/>
        </w:rPr>
        <w:t xml:space="preserve"> </w:t>
      </w:r>
      <w:r>
        <w:rPr>
          <w:rFonts w:hint="eastAsia" w:ascii="Times New Roman" w:hAnsi="Times New Roman" w:eastAsia="宋体"/>
          <w:i/>
          <w:iCs/>
          <w:sz w:val="21"/>
          <w:szCs w:val="22"/>
          <w:lang w:val="en-US" w:eastAsia="zh-CN"/>
        </w:rPr>
        <w:t>which is bonded to the ground reference plane</w:t>
      </w:r>
      <w:r>
        <w:rPr>
          <w:rFonts w:cs="v4.2.0"/>
          <w:i/>
          <w:iCs/>
          <w:lang w:eastAsia="en-GB"/>
        </w:rPr>
        <w:t xml:space="preserve">. </w:t>
      </w:r>
      <w:r>
        <w:rPr>
          <w:i/>
          <w:iCs/>
          <w:lang w:eastAsia="en-GB"/>
        </w:rPr>
        <w:t>According to CISPR 16</w:t>
      </w:r>
      <w:r>
        <w:rPr>
          <w:i/>
          <w:iCs/>
          <w:lang w:eastAsia="en-GB"/>
        </w:rPr>
        <w:noBreakHyphen/>
      </w:r>
      <w:r>
        <w:rPr>
          <w:rFonts w:hint="eastAsia" w:eastAsia="宋体"/>
          <w:i/>
          <w:iCs/>
          <w:lang w:val="en-US" w:eastAsia="zh-CN"/>
        </w:rPr>
        <w:t>2</w:t>
      </w:r>
      <w:r>
        <w:rPr>
          <w:i/>
          <w:iCs/>
          <w:lang w:eastAsia="en-GB"/>
        </w:rPr>
        <w:t>-1 [</w:t>
      </w:r>
      <w:r>
        <w:rPr>
          <w:rFonts w:hint="eastAsia"/>
          <w:i/>
          <w:iCs/>
          <w:lang w:val="en-US" w:eastAsia="zh-CN"/>
        </w:rPr>
        <w:t>26</w:t>
      </w:r>
      <w:r>
        <w:rPr>
          <w:i/>
          <w:iCs/>
          <w:lang w:eastAsia="en-GB"/>
        </w:rPr>
        <w:t xml:space="preserve">], </w:t>
      </w:r>
      <w:r>
        <w:rPr>
          <w:rFonts w:hint="eastAsia"/>
          <w:i/>
          <w:iCs/>
          <w:lang w:val="en-US" w:eastAsia="zh-CN"/>
        </w:rPr>
        <w:t xml:space="preserve">the RF output port of </w:t>
      </w:r>
      <w:r>
        <w:rPr>
          <w:rFonts w:hint="eastAsia" w:eastAsia="宋体"/>
          <w:i/>
          <w:iCs/>
          <w:lang w:val="en-US" w:eastAsia="zh-CN"/>
        </w:rPr>
        <w:t xml:space="preserve">each AMN not connected to the receiver </w:t>
      </w:r>
      <w:r>
        <w:rPr>
          <w:i/>
          <w:iCs/>
          <w:lang w:eastAsia="en-GB"/>
        </w:rPr>
        <w:t>shall be terminated by a 50 Ω</w:t>
      </w:r>
      <w:r>
        <w:rPr>
          <w:rFonts w:hint="eastAsia" w:eastAsia="宋体"/>
          <w:i/>
          <w:iCs/>
          <w:lang w:val="en-US" w:eastAsia="zh-CN"/>
        </w:rPr>
        <w:t xml:space="preserve"> </w:t>
      </w:r>
      <w:r>
        <w:rPr>
          <w:i/>
          <w:iCs/>
          <w:lang w:eastAsia="en-GB"/>
        </w:rPr>
        <w:t>impedance.</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some discussion of wanted signal level and spatial exclusion and the proposal are provided as:</w:t>
      </w:r>
    </w:p>
    <w:p>
      <w:pPr>
        <w:rPr>
          <w:b/>
          <w:bCs/>
          <w:lang w:val="en-US" w:eastAsia="zh-CN"/>
        </w:rPr>
      </w:pPr>
      <w:r>
        <w:rPr>
          <w:rFonts w:hint="eastAsia"/>
          <w:b/>
          <w:bCs/>
          <w:lang w:val="en-US" w:eastAsia="zh-CN"/>
        </w:rPr>
        <w:t>Observation: The AMN wouldn</w:t>
      </w:r>
      <w:r>
        <w:rPr>
          <w:rFonts w:hint="default"/>
          <w:b/>
          <w:bCs/>
          <w:lang w:val="en-US" w:eastAsia="zh-CN"/>
        </w:rPr>
        <w:t>’</w:t>
      </w:r>
      <w:r>
        <w:rPr>
          <w:rFonts w:hint="eastAsia"/>
          <w:b/>
          <w:bCs/>
          <w:lang w:val="en-US" w:eastAsia="zh-CN"/>
        </w:rPr>
        <w:t>t be grounded well while the PE conductor is terminated by a common mode RF impedance without connecting to ground plane.</w:t>
      </w:r>
    </w:p>
    <w:p>
      <w:pPr>
        <w:jc w:val="both"/>
        <w:rPr>
          <w:rFonts w:hint="eastAsia"/>
          <w:b/>
          <w:bCs/>
          <w:vertAlign w:val="baseline"/>
          <w:lang w:val="en-US" w:eastAsia="zh-CN"/>
        </w:rPr>
      </w:pPr>
      <w:r>
        <w:rPr>
          <w:rFonts w:hint="eastAsia"/>
          <w:b/>
          <w:bCs/>
          <w:vertAlign w:val="baseline"/>
          <w:lang w:val="en-US" w:eastAsia="zh-CN"/>
        </w:rPr>
        <w:t>Proposal: Correct the description for conducted emission test method at AC mains power input port in [1], [2] and [3] according to [4] as the following:</w:t>
      </w:r>
    </w:p>
    <w:p>
      <w:pPr>
        <w:rPr>
          <w:rFonts w:cs="v4.2.0"/>
          <w:i/>
          <w:iCs/>
          <w:lang w:eastAsia="en-GB"/>
        </w:rPr>
      </w:pPr>
      <w:r>
        <w:rPr>
          <w:rFonts w:cs="v4.2.0"/>
          <w:i/>
          <w:iCs/>
          <w:lang w:eastAsia="en-GB"/>
        </w:rPr>
        <w:t>Mains connected ancillary equipment which is not part of the EUT shall be connected to the mains via a separate AMN</w:t>
      </w:r>
      <w:r>
        <w:rPr>
          <w:rFonts w:hint="eastAsia" w:cs="v4.2.0"/>
          <w:i/>
          <w:iCs/>
          <w:lang w:val="en-US" w:eastAsia="zh-CN"/>
        </w:rPr>
        <w:t xml:space="preserve"> </w:t>
      </w:r>
      <w:r>
        <w:rPr>
          <w:rFonts w:hint="eastAsia" w:ascii="Times New Roman" w:hAnsi="Times New Roman" w:eastAsia="宋体"/>
          <w:i/>
          <w:iCs/>
          <w:sz w:val="21"/>
          <w:szCs w:val="22"/>
          <w:lang w:val="en-US" w:eastAsia="zh-CN"/>
        </w:rPr>
        <w:t>which is bonded to the ground reference plane</w:t>
      </w:r>
      <w:r>
        <w:rPr>
          <w:rFonts w:cs="v4.2.0"/>
          <w:i/>
          <w:iCs/>
          <w:lang w:eastAsia="en-GB"/>
        </w:rPr>
        <w:t xml:space="preserve">. </w:t>
      </w:r>
      <w:r>
        <w:rPr>
          <w:i/>
          <w:iCs/>
          <w:lang w:eastAsia="en-GB"/>
        </w:rPr>
        <w:t>According to CISPR 16</w:t>
      </w:r>
      <w:r>
        <w:rPr>
          <w:i/>
          <w:iCs/>
          <w:lang w:eastAsia="en-GB"/>
        </w:rPr>
        <w:noBreakHyphen/>
      </w:r>
      <w:r>
        <w:rPr>
          <w:rFonts w:hint="eastAsia" w:eastAsia="宋体"/>
          <w:i/>
          <w:iCs/>
          <w:lang w:val="en-US" w:eastAsia="zh-CN"/>
        </w:rPr>
        <w:t>2</w:t>
      </w:r>
      <w:r>
        <w:rPr>
          <w:i/>
          <w:iCs/>
          <w:lang w:eastAsia="en-GB"/>
        </w:rPr>
        <w:t>-1 [</w:t>
      </w:r>
      <w:r>
        <w:rPr>
          <w:rFonts w:hint="eastAsia"/>
          <w:i/>
          <w:iCs/>
          <w:lang w:val="en-US" w:eastAsia="zh-CN"/>
        </w:rPr>
        <w:t>26</w:t>
      </w:r>
      <w:r>
        <w:rPr>
          <w:i/>
          <w:iCs/>
          <w:lang w:eastAsia="en-GB"/>
        </w:rPr>
        <w:t xml:space="preserve">], </w:t>
      </w:r>
      <w:r>
        <w:rPr>
          <w:rFonts w:hint="eastAsia"/>
          <w:i/>
          <w:iCs/>
          <w:lang w:val="en-US" w:eastAsia="zh-CN"/>
        </w:rPr>
        <w:t xml:space="preserve">the RF output port of </w:t>
      </w:r>
      <w:r>
        <w:rPr>
          <w:rFonts w:hint="eastAsia" w:eastAsia="宋体"/>
          <w:i/>
          <w:iCs/>
          <w:lang w:val="en-US" w:eastAsia="zh-CN"/>
        </w:rPr>
        <w:t xml:space="preserve">each AMN not connected to the receiver </w:t>
      </w:r>
      <w:r>
        <w:rPr>
          <w:i/>
          <w:iCs/>
          <w:lang w:eastAsia="en-GB"/>
        </w:rPr>
        <w:t>shall be terminated by a 50 Ω</w:t>
      </w:r>
      <w:r>
        <w:rPr>
          <w:rFonts w:hint="eastAsia" w:eastAsia="宋体"/>
          <w:i/>
          <w:iCs/>
          <w:lang w:val="en-US" w:eastAsia="zh-CN"/>
        </w:rPr>
        <w:t xml:space="preserve"> </w:t>
      </w:r>
      <w:r>
        <w:rPr>
          <w:i/>
          <w:iCs/>
          <w:lang w:eastAsia="en-GB"/>
        </w:rPr>
        <w:t>impedance.</w:t>
      </w:r>
    </w:p>
    <w:p>
      <w:pPr>
        <w:pStyle w:val="2"/>
        <w:numPr>
          <w:ilvl w:val="0"/>
          <w:numId w:val="0"/>
        </w:numPr>
        <w:tabs>
          <w:tab w:val="clear" w:pos="432"/>
        </w:tabs>
        <w:ind w:leftChars="0"/>
        <w:rPr>
          <w:rFonts w:cs="Arial"/>
          <w:lang w:eastAsia="zh-CN"/>
        </w:rPr>
      </w:pPr>
      <w:r>
        <w:rPr>
          <w:rFonts w:cs="Arial"/>
          <w:lang w:eastAsia="zh-CN"/>
        </w:rPr>
        <w:br w:type="page"/>
      </w:r>
    </w:p>
    <w:p>
      <w:pPr>
        <w:pStyle w:val="2"/>
        <w:numPr>
          <w:ilvl w:val="0"/>
          <w:numId w:val="0"/>
        </w:numPr>
        <w:tabs>
          <w:tab w:val="clear" w:pos="432"/>
        </w:tabs>
        <w:ind w:leftChars="0"/>
        <w:rPr>
          <w:rFonts w:cs="Arial"/>
          <w:lang w:eastAsia="zh-CN"/>
        </w:rPr>
      </w:pPr>
      <w:r>
        <w:rPr>
          <w:rFonts w:cs="Arial"/>
          <w:lang w:eastAsia="zh-CN"/>
        </w:rPr>
        <w:t>References</w:t>
      </w:r>
    </w:p>
    <w:p>
      <w:pPr>
        <w:pStyle w:val="93"/>
        <w:numPr>
          <w:ilvl w:val="0"/>
          <w:numId w:val="7"/>
        </w:numPr>
        <w:spacing w:before="120" w:beforeLines="0" w:after="120" w:afterLines="0"/>
        <w:ind w:left="726" w:hanging="363"/>
        <w:rPr>
          <w:rFonts w:eastAsia="MS Mincho"/>
          <w:sz w:val="22"/>
          <w:szCs w:val="22"/>
          <w:lang w:eastAsia="zh-CN"/>
        </w:rPr>
      </w:pPr>
      <w:r>
        <w:rPr>
          <w:rFonts w:hint="eastAsia"/>
          <w:lang w:val="en-US" w:eastAsia="zh-CN"/>
        </w:rPr>
        <w:t>TS 38.113, 3rd Generation Partnership Project;Technical Specification Group Radio Access Network;NR;Base Station (BS) ElectroMagnetic Compatibility (EMC)</w:t>
      </w:r>
    </w:p>
    <w:p>
      <w:pPr>
        <w:pStyle w:val="93"/>
        <w:numPr>
          <w:ilvl w:val="0"/>
          <w:numId w:val="7"/>
        </w:numPr>
        <w:spacing w:before="120" w:beforeLines="0" w:after="120" w:afterLines="0"/>
        <w:ind w:left="726" w:hanging="363"/>
        <w:rPr>
          <w:rFonts w:hint="eastAsia"/>
          <w:sz w:val="20"/>
          <w:szCs w:val="20"/>
          <w:lang w:val="en-US" w:eastAsia="zh-CN"/>
        </w:rPr>
      </w:pPr>
      <w:r>
        <w:rPr>
          <w:rFonts w:hint="eastAsia"/>
          <w:sz w:val="20"/>
          <w:szCs w:val="20"/>
          <w:lang w:val="en-US" w:eastAsia="zh-CN"/>
        </w:rPr>
        <w:t>TS 36.113, 3rd Generation Partnership Project; Technical Specification Group Radio Access Network; Evolved Universal Terrestrial Radio Access (E-UTRA); Base Station (BS) and repeater ElectroMagnetic Compatibility (EMC)</w:t>
      </w:r>
    </w:p>
    <w:p>
      <w:pPr>
        <w:pStyle w:val="93"/>
        <w:numPr>
          <w:ilvl w:val="0"/>
          <w:numId w:val="7"/>
        </w:numPr>
        <w:spacing w:before="120" w:beforeLines="0" w:after="120" w:afterLines="0"/>
        <w:ind w:left="726" w:hanging="363"/>
        <w:rPr>
          <w:rFonts w:hint="eastAsia"/>
          <w:sz w:val="20"/>
          <w:szCs w:val="20"/>
          <w:lang w:val="en-US" w:eastAsia="zh-CN"/>
        </w:rPr>
      </w:pPr>
      <w:r>
        <w:rPr>
          <w:rFonts w:hint="eastAsia"/>
          <w:sz w:val="20"/>
          <w:szCs w:val="20"/>
          <w:lang w:val="en-US" w:eastAsia="zh-CN"/>
        </w:rPr>
        <w:t>TS 37.113, 3rd Generation Partnership Project; Technical Specification Group Radio Access Network; E-UTRA, UTRA and GSM/EDGE; Multi-Standard Radio (MSR) Base Station (BS) Electromagnetic Compatibility (EMC)</w:t>
      </w:r>
    </w:p>
    <w:p>
      <w:pPr>
        <w:pStyle w:val="93"/>
        <w:numPr>
          <w:ilvl w:val="0"/>
          <w:numId w:val="7"/>
        </w:numPr>
        <w:spacing w:before="120" w:beforeLines="0" w:after="120" w:afterLines="0"/>
        <w:ind w:left="726" w:hanging="363"/>
        <w:rPr>
          <w:rFonts w:hint="eastAsia"/>
          <w:sz w:val="20"/>
          <w:szCs w:val="20"/>
          <w:lang w:val="en-US" w:eastAsia="zh-CN"/>
        </w:rPr>
      </w:pPr>
      <w:r>
        <w:rPr>
          <w:rFonts w:hint="eastAsia"/>
          <w:sz w:val="20"/>
          <w:szCs w:val="20"/>
          <w:lang w:val="en-US" w:eastAsia="zh-CN"/>
        </w:rPr>
        <w:t>CISPR 16-2-1, Specification for radio disturbance and immunity measuring apparatus and methods – Part 2-1: Methods of measurement of disturbances and immunity – Conducted disturbance measurements</w:t>
      </w:r>
    </w:p>
    <w:p>
      <w:pPr>
        <w:pStyle w:val="93"/>
        <w:numPr>
          <w:ilvl w:val="0"/>
          <w:numId w:val="0"/>
        </w:numPr>
        <w:tabs>
          <w:tab w:val="clear" w:pos="720"/>
        </w:tabs>
        <w:spacing w:before="120" w:beforeLines="0" w:after="120" w:afterLines="0"/>
        <w:ind w:left="363" w:leftChars="0"/>
        <w:rPr>
          <w:rFonts w:eastAsia="MS Mincho"/>
          <w:sz w:val="22"/>
          <w:szCs w:val="22"/>
          <w:lang w:eastAsia="zh-CN"/>
        </w:rPr>
      </w:pPr>
    </w:p>
    <w:sectPr>
      <w:footnotePr>
        <w:numRestart w:val="eachSect"/>
      </w:footnotePr>
      <w:pgSz w:w="11907" w:h="16840"/>
      <w:pgMar w:top="794" w:right="794" w:bottom="993" w:left="794" w:header="680" w:footer="567" w:gutter="0"/>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modern"/>
    <w:pitch w:val="default"/>
    <w:sig w:usb0="900002AF" w:usb1="01D77CFB" w:usb2="00000012" w:usb3="00000000" w:csb0="0008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C65454"/>
    <w:rsid w:val="031C4CB7"/>
    <w:rsid w:val="03AA77A6"/>
    <w:rsid w:val="04763DB6"/>
    <w:rsid w:val="047C7717"/>
    <w:rsid w:val="05963C46"/>
    <w:rsid w:val="092F347C"/>
    <w:rsid w:val="094D0600"/>
    <w:rsid w:val="098B03F1"/>
    <w:rsid w:val="0A2960EF"/>
    <w:rsid w:val="0BE16E54"/>
    <w:rsid w:val="0C90604D"/>
    <w:rsid w:val="0CBC21A6"/>
    <w:rsid w:val="0D885B5C"/>
    <w:rsid w:val="0D8A1C03"/>
    <w:rsid w:val="0E763984"/>
    <w:rsid w:val="0EE8621E"/>
    <w:rsid w:val="0FBB53A3"/>
    <w:rsid w:val="10561550"/>
    <w:rsid w:val="108C25AB"/>
    <w:rsid w:val="11CE6ABD"/>
    <w:rsid w:val="12116912"/>
    <w:rsid w:val="1354200B"/>
    <w:rsid w:val="13867FC8"/>
    <w:rsid w:val="139C0323"/>
    <w:rsid w:val="15B13CC5"/>
    <w:rsid w:val="166C0F69"/>
    <w:rsid w:val="18244A12"/>
    <w:rsid w:val="19A26D14"/>
    <w:rsid w:val="1A670C75"/>
    <w:rsid w:val="1BB41235"/>
    <w:rsid w:val="1BDD4E03"/>
    <w:rsid w:val="1C3E5BEE"/>
    <w:rsid w:val="1C7E430A"/>
    <w:rsid w:val="1D063DC2"/>
    <w:rsid w:val="1D9D6581"/>
    <w:rsid w:val="1E9A2C7A"/>
    <w:rsid w:val="1F697F0E"/>
    <w:rsid w:val="1F825716"/>
    <w:rsid w:val="20484B28"/>
    <w:rsid w:val="205270E7"/>
    <w:rsid w:val="20B1597C"/>
    <w:rsid w:val="21107C64"/>
    <w:rsid w:val="21472AD0"/>
    <w:rsid w:val="21C109E9"/>
    <w:rsid w:val="21D67E69"/>
    <w:rsid w:val="23597F29"/>
    <w:rsid w:val="24541EC9"/>
    <w:rsid w:val="288B0F82"/>
    <w:rsid w:val="28E63C49"/>
    <w:rsid w:val="29D25E5C"/>
    <w:rsid w:val="2AC67674"/>
    <w:rsid w:val="2CD613D2"/>
    <w:rsid w:val="2D153347"/>
    <w:rsid w:val="2D2A1CF1"/>
    <w:rsid w:val="2E0A65A8"/>
    <w:rsid w:val="2F7808DB"/>
    <w:rsid w:val="30737954"/>
    <w:rsid w:val="30885017"/>
    <w:rsid w:val="31C515C1"/>
    <w:rsid w:val="31C725D8"/>
    <w:rsid w:val="31E70315"/>
    <w:rsid w:val="32352858"/>
    <w:rsid w:val="33AC3E9B"/>
    <w:rsid w:val="346B6A82"/>
    <w:rsid w:val="35DA3A34"/>
    <w:rsid w:val="377F030D"/>
    <w:rsid w:val="39BD0890"/>
    <w:rsid w:val="3B9865CF"/>
    <w:rsid w:val="3BA803FB"/>
    <w:rsid w:val="3CAA1627"/>
    <w:rsid w:val="3D3210E1"/>
    <w:rsid w:val="3E2E3C0E"/>
    <w:rsid w:val="3E3602D5"/>
    <w:rsid w:val="3EE436F8"/>
    <w:rsid w:val="405209B8"/>
    <w:rsid w:val="414D70C7"/>
    <w:rsid w:val="422431F5"/>
    <w:rsid w:val="424B558A"/>
    <w:rsid w:val="426B0E00"/>
    <w:rsid w:val="43F45753"/>
    <w:rsid w:val="44204329"/>
    <w:rsid w:val="45D61D1B"/>
    <w:rsid w:val="467823B0"/>
    <w:rsid w:val="48866A0F"/>
    <w:rsid w:val="4A015527"/>
    <w:rsid w:val="4B112B71"/>
    <w:rsid w:val="4BA52676"/>
    <w:rsid w:val="4C6B12AB"/>
    <w:rsid w:val="4CBE1380"/>
    <w:rsid w:val="4D345A0A"/>
    <w:rsid w:val="4D8D0EED"/>
    <w:rsid w:val="4E0B7835"/>
    <w:rsid w:val="4E6374A0"/>
    <w:rsid w:val="4EDC2D82"/>
    <w:rsid w:val="50101CBA"/>
    <w:rsid w:val="50502B31"/>
    <w:rsid w:val="52A4335A"/>
    <w:rsid w:val="54966634"/>
    <w:rsid w:val="569C053A"/>
    <w:rsid w:val="58BA16F6"/>
    <w:rsid w:val="5B9B36BD"/>
    <w:rsid w:val="5C844C0E"/>
    <w:rsid w:val="5D5A5641"/>
    <w:rsid w:val="5D5E4B33"/>
    <w:rsid w:val="5DB71706"/>
    <w:rsid w:val="5E720882"/>
    <w:rsid w:val="5E8C6849"/>
    <w:rsid w:val="6120442E"/>
    <w:rsid w:val="61E91DC1"/>
    <w:rsid w:val="61EB6DF6"/>
    <w:rsid w:val="628B20F9"/>
    <w:rsid w:val="65ED19B5"/>
    <w:rsid w:val="672762CB"/>
    <w:rsid w:val="67A84266"/>
    <w:rsid w:val="68FE10CA"/>
    <w:rsid w:val="69954D46"/>
    <w:rsid w:val="6A650E24"/>
    <w:rsid w:val="6C560643"/>
    <w:rsid w:val="6C5C4755"/>
    <w:rsid w:val="6D6A226E"/>
    <w:rsid w:val="6D9E564E"/>
    <w:rsid w:val="6E647BAA"/>
    <w:rsid w:val="6E6C55F9"/>
    <w:rsid w:val="6ED8743F"/>
    <w:rsid w:val="6F166551"/>
    <w:rsid w:val="6F7A5B80"/>
    <w:rsid w:val="70994298"/>
    <w:rsid w:val="70A779CE"/>
    <w:rsid w:val="73653AD9"/>
    <w:rsid w:val="752B36B1"/>
    <w:rsid w:val="75D44E15"/>
    <w:rsid w:val="77BD025C"/>
    <w:rsid w:val="792A63C1"/>
    <w:rsid w:val="7A0C6A43"/>
    <w:rsid w:val="7A4608C1"/>
    <w:rsid w:val="7B882BF8"/>
    <w:rsid w:val="7BD75797"/>
    <w:rsid w:val="7C8034ED"/>
    <w:rsid w:val="7E2A7A73"/>
    <w:rsid w:val="7E2B52CB"/>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 ZTE</cp:lastModifiedBy>
  <cp:lastPrinted>2015-01-14T18:53:00Z</cp:lastPrinted>
  <dcterms:modified xsi:type="dcterms:W3CDTF">2018-11-02T02:48:42Z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2052-10.8.2.6613</vt:lpwstr>
  </property>
</Properties>
</file>